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9" w:rsidRDefault="00FD3439" w:rsidP="00FD3439">
      <w:pPr>
        <w:spacing w:after="0"/>
        <w:ind w:left="590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-504825</wp:posOffset>
            </wp:positionV>
            <wp:extent cx="93345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6"/>
          <w:szCs w:val="16"/>
        </w:rPr>
        <w:t>PATVIRTINTA</w:t>
      </w:r>
    </w:p>
    <w:p w:rsidR="00FD3439" w:rsidRDefault="00FD3439" w:rsidP="00FD3439">
      <w:pPr>
        <w:spacing w:after="0"/>
        <w:ind w:left="5904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Kauno</w:t>
      </w:r>
      <w:proofErr w:type="spellEnd"/>
      <w:r>
        <w:rPr>
          <w:rFonts w:ascii="Century Gothic" w:hAnsi="Century Gothic"/>
          <w:sz w:val="16"/>
          <w:szCs w:val="16"/>
        </w:rPr>
        <w:t xml:space="preserve"> I-</w:t>
      </w:r>
      <w:proofErr w:type="spellStart"/>
      <w:r>
        <w:rPr>
          <w:rFonts w:ascii="Century Gothic" w:hAnsi="Century Gothic"/>
          <w:sz w:val="16"/>
          <w:szCs w:val="16"/>
        </w:rPr>
        <w:t>sios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muzikos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mokyklos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direktoriaus</w:t>
      </w:r>
      <w:proofErr w:type="spellEnd"/>
    </w:p>
    <w:p w:rsidR="00FD3439" w:rsidRDefault="00854B91" w:rsidP="00FD3439">
      <w:pPr>
        <w:spacing w:after="0"/>
        <w:ind w:left="5904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 xml:space="preserve">2019 m. </w:t>
      </w:r>
      <w:proofErr w:type="spellStart"/>
      <w:r>
        <w:rPr>
          <w:rFonts w:ascii="Century Gothic" w:hAnsi="Century Gothic"/>
          <w:sz w:val="16"/>
          <w:szCs w:val="16"/>
        </w:rPr>
        <w:t>vasario</w:t>
      </w:r>
      <w:proofErr w:type="spellEnd"/>
      <w:r>
        <w:rPr>
          <w:rFonts w:ascii="Century Gothic" w:hAnsi="Century Gothic"/>
          <w:sz w:val="16"/>
          <w:szCs w:val="16"/>
        </w:rPr>
        <w:t xml:space="preserve"> 21 d. </w:t>
      </w:r>
      <w:proofErr w:type="spellStart"/>
      <w:r>
        <w:rPr>
          <w:rFonts w:ascii="Century Gothic" w:hAnsi="Century Gothic"/>
          <w:sz w:val="16"/>
          <w:szCs w:val="16"/>
        </w:rPr>
        <w:t>įsakymu</w:t>
      </w:r>
      <w:proofErr w:type="spellEnd"/>
      <w:r>
        <w:rPr>
          <w:rFonts w:ascii="Century Gothic" w:hAnsi="Century Gothic"/>
          <w:sz w:val="16"/>
          <w:szCs w:val="16"/>
        </w:rPr>
        <w:t xml:space="preserve"> Nr. 2.</w:t>
      </w:r>
      <w:proofErr w:type="gramEnd"/>
      <w:r>
        <w:rPr>
          <w:rFonts w:ascii="Century Gothic" w:hAnsi="Century Gothic"/>
          <w:sz w:val="16"/>
          <w:szCs w:val="16"/>
        </w:rPr>
        <w:t xml:space="preserve"> 1-V-70</w:t>
      </w:r>
    </w:p>
    <w:p w:rsidR="00FD3439" w:rsidRDefault="00FD3439" w:rsidP="00FD3439">
      <w:pPr>
        <w:spacing w:after="0"/>
        <w:ind w:left="5904"/>
        <w:rPr>
          <w:rFonts w:ascii="Century Gothic" w:hAnsi="Century Gothic"/>
          <w:sz w:val="16"/>
          <w:szCs w:val="16"/>
        </w:rPr>
      </w:pPr>
    </w:p>
    <w:p w:rsidR="00FD3439" w:rsidRPr="00FD3439" w:rsidRDefault="00FD3439" w:rsidP="00FD3439">
      <w:pPr>
        <w:spacing w:after="0"/>
        <w:ind w:left="5904"/>
        <w:rPr>
          <w:rFonts w:ascii="Century Gothic" w:hAnsi="Century Gothic"/>
          <w:sz w:val="16"/>
          <w:szCs w:val="16"/>
        </w:rPr>
      </w:pPr>
    </w:p>
    <w:p w:rsidR="005D2701" w:rsidRDefault="00FD3439" w:rsidP="00FD343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</w:t>
      </w:r>
      <w:r w:rsidR="00BA6BB9" w:rsidRPr="00BA6BB9">
        <w:rPr>
          <w:rFonts w:ascii="Century Gothic" w:hAnsi="Century Gothic"/>
          <w:sz w:val="32"/>
          <w:szCs w:val="32"/>
        </w:rPr>
        <w:t>KAUNO I-OJI MUZIKOS MOKYKLA</w:t>
      </w:r>
    </w:p>
    <w:p w:rsidR="009434FC" w:rsidRPr="00FD3439" w:rsidRDefault="009434FC" w:rsidP="00FD343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7F1FF0" w:rsidRPr="007F1FF0" w:rsidRDefault="007F1FF0" w:rsidP="00FD343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F1FF0">
        <w:rPr>
          <w:rFonts w:ascii="Century Gothic" w:hAnsi="Century Gothic"/>
          <w:sz w:val="20"/>
          <w:szCs w:val="20"/>
        </w:rPr>
        <w:t xml:space="preserve">TĘSTINIS PROJEKTAS </w:t>
      </w:r>
      <w:r w:rsidR="00854B91">
        <w:rPr>
          <w:rFonts w:ascii="Century Gothic" w:hAnsi="Century Gothic"/>
          <w:sz w:val="20"/>
          <w:szCs w:val="20"/>
        </w:rPr>
        <w:t>/ I ETAPAS</w:t>
      </w:r>
    </w:p>
    <w:p w:rsidR="007F1FF0" w:rsidRPr="007F1FF0" w:rsidRDefault="007F1FF0" w:rsidP="00FD343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BA6BB9" w:rsidRDefault="00BA6BB9" w:rsidP="00FD3439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RESPUBLIKINĖ MOKSLINĖ-PRAKTINĖ KONFERENCIJA</w:t>
      </w:r>
    </w:p>
    <w:p w:rsidR="00FD3439" w:rsidRDefault="000A77BB" w:rsidP="00FD3439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0A77BB">
        <w:rPr>
          <w:rFonts w:ascii="Century Gothic" w:hAnsi="Century Gothic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.25pt;margin-top:10.9pt;width:385.5pt;height:0;z-index:251660288" o:connectortype="straight"/>
        </w:pict>
      </w:r>
    </w:p>
    <w:p w:rsidR="009434FC" w:rsidRPr="009434FC" w:rsidRDefault="009434FC" w:rsidP="00FD343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434FC">
        <w:rPr>
          <w:rFonts w:ascii="Century Gothic" w:hAnsi="Century Gothic"/>
          <w:b/>
          <w:sz w:val="24"/>
          <w:szCs w:val="24"/>
        </w:rPr>
        <w:t>PROGRAMINĖ MUZIKA –</w:t>
      </w:r>
    </w:p>
    <w:p w:rsidR="00BA6BB9" w:rsidRDefault="009434FC" w:rsidP="00FD3439">
      <w:pPr>
        <w:spacing w:after="0"/>
        <w:jc w:val="center"/>
        <w:rPr>
          <w:rFonts w:ascii="Century Gothic" w:hAnsi="Century Gothic"/>
          <w:sz w:val="24"/>
          <w:szCs w:val="24"/>
        </w:rPr>
      </w:pPr>
      <w:proofErr w:type="gramStart"/>
      <w:r w:rsidRPr="009434FC">
        <w:rPr>
          <w:rFonts w:ascii="Century Gothic" w:hAnsi="Century Gothic"/>
          <w:b/>
          <w:sz w:val="24"/>
          <w:szCs w:val="24"/>
        </w:rPr>
        <w:t>INTERPRETACINIS KONTEKSTAS VS.</w:t>
      </w:r>
      <w:proofErr w:type="gramEnd"/>
      <w:r w:rsidRPr="009434FC">
        <w:rPr>
          <w:rFonts w:ascii="Century Gothic" w:hAnsi="Century Gothic"/>
          <w:b/>
          <w:sz w:val="24"/>
          <w:szCs w:val="24"/>
        </w:rPr>
        <w:t xml:space="preserve"> ATLIKĖJO INDIVIDUALUMAS</w:t>
      </w:r>
    </w:p>
    <w:p w:rsidR="009434FC" w:rsidRDefault="000A77BB" w:rsidP="009434F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28" type="#_x0000_t32" style="position:absolute;left:0;text-align:left;margin-left:41.25pt;margin-top:9.25pt;width:385.5pt;height:0;z-index:251661312" o:connectortype="straight"/>
        </w:pict>
      </w:r>
    </w:p>
    <w:p w:rsidR="009434FC" w:rsidRDefault="009434FC" w:rsidP="009434F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434FC" w:rsidRDefault="00FD3439" w:rsidP="00FD343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FD3439">
        <w:rPr>
          <w:rFonts w:ascii="Century Gothic" w:hAnsi="Century Gothic"/>
          <w:b/>
          <w:sz w:val="28"/>
          <w:szCs w:val="28"/>
        </w:rPr>
        <w:t>NUOSTATAI</w:t>
      </w:r>
    </w:p>
    <w:p w:rsidR="00FD3439" w:rsidRDefault="00FD3439" w:rsidP="00FD343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D3439" w:rsidRPr="000555E8" w:rsidRDefault="00FD3439" w:rsidP="00FD3439">
      <w:pPr>
        <w:spacing w:after="0"/>
        <w:jc w:val="both"/>
        <w:rPr>
          <w:rFonts w:ascii="Century Gothic" w:hAnsi="Century Gothic"/>
          <w:b/>
        </w:rPr>
      </w:pPr>
      <w:r w:rsidRPr="000555E8">
        <w:rPr>
          <w:rFonts w:ascii="Century Gothic" w:hAnsi="Century Gothic"/>
          <w:b/>
        </w:rPr>
        <w:t>I. BENDRI NUOSTATAI</w:t>
      </w:r>
      <w:r w:rsidR="000555E8">
        <w:rPr>
          <w:rFonts w:ascii="Century Gothic" w:hAnsi="Century Gothic"/>
          <w:b/>
        </w:rPr>
        <w:t>:</w:t>
      </w:r>
    </w:p>
    <w:p w:rsidR="00EB31B4" w:rsidRPr="000555E8" w:rsidRDefault="00EB31B4" w:rsidP="00EB31B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0555E8">
        <w:rPr>
          <w:rFonts w:ascii="Century Gothic" w:hAnsi="Century Gothic"/>
          <w:sz w:val="20"/>
          <w:szCs w:val="20"/>
        </w:rPr>
        <w:t>Respublikinė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mokslinė-praktinė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konferencija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0555E8">
        <w:rPr>
          <w:rFonts w:ascii="Century Gothic" w:hAnsi="Century Gothic"/>
          <w:sz w:val="20"/>
          <w:szCs w:val="20"/>
        </w:rPr>
        <w:t>toliau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0555E8">
        <w:rPr>
          <w:rFonts w:ascii="Century Gothic" w:hAnsi="Century Gothic"/>
          <w:sz w:val="20"/>
          <w:szCs w:val="20"/>
        </w:rPr>
        <w:t>konferencija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0555E8">
        <w:rPr>
          <w:rFonts w:ascii="Century Gothic" w:hAnsi="Century Gothic"/>
          <w:sz w:val="20"/>
          <w:szCs w:val="20"/>
        </w:rPr>
        <w:t>vyks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r w:rsidR="00854B91">
        <w:rPr>
          <w:rFonts w:ascii="Century Gothic" w:hAnsi="Century Gothic"/>
          <w:sz w:val="20"/>
          <w:szCs w:val="20"/>
        </w:rPr>
        <w:t xml:space="preserve">2019 </w:t>
      </w:r>
      <w:proofErr w:type="spellStart"/>
      <w:r w:rsidR="00854B91">
        <w:rPr>
          <w:rFonts w:ascii="Century Gothic" w:hAnsi="Century Gothic"/>
          <w:sz w:val="20"/>
          <w:szCs w:val="20"/>
        </w:rPr>
        <w:t>metais</w:t>
      </w:r>
      <w:proofErr w:type="spellEnd"/>
      <w:r w:rsidR="00854B9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54B91">
        <w:rPr>
          <w:rFonts w:ascii="Century Gothic" w:hAnsi="Century Gothic"/>
          <w:sz w:val="20"/>
          <w:szCs w:val="20"/>
        </w:rPr>
        <w:t>gegužės</w:t>
      </w:r>
      <w:proofErr w:type="spellEnd"/>
      <w:r w:rsidR="00854B91">
        <w:rPr>
          <w:rFonts w:ascii="Century Gothic" w:hAnsi="Century Gothic"/>
          <w:sz w:val="20"/>
          <w:szCs w:val="20"/>
        </w:rPr>
        <w:t xml:space="preserve"> 10 </w:t>
      </w:r>
      <w:proofErr w:type="spellStart"/>
      <w:r w:rsidR="00854B91">
        <w:rPr>
          <w:rFonts w:ascii="Century Gothic" w:hAnsi="Century Gothic"/>
          <w:sz w:val="20"/>
          <w:szCs w:val="20"/>
        </w:rPr>
        <w:t>dieną</w:t>
      </w:r>
      <w:proofErr w:type="spellEnd"/>
      <w:r w:rsidR="00854B91">
        <w:rPr>
          <w:rFonts w:ascii="Century Gothic" w:hAnsi="Century Gothic"/>
          <w:sz w:val="20"/>
          <w:szCs w:val="20"/>
        </w:rPr>
        <w:t xml:space="preserve">, </w:t>
      </w:r>
      <w:r w:rsidRPr="000555E8">
        <w:rPr>
          <w:rFonts w:ascii="Century Gothic" w:hAnsi="Century Gothic"/>
          <w:sz w:val="20"/>
          <w:szCs w:val="20"/>
        </w:rPr>
        <w:t xml:space="preserve">KTU III </w:t>
      </w:r>
      <w:proofErr w:type="spellStart"/>
      <w:r w:rsidRPr="000555E8">
        <w:rPr>
          <w:rFonts w:ascii="Century Gothic" w:hAnsi="Century Gothic"/>
          <w:sz w:val="20"/>
          <w:szCs w:val="20"/>
        </w:rPr>
        <w:t>rūmuose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0555E8">
        <w:rPr>
          <w:rFonts w:ascii="Century Gothic" w:hAnsi="Century Gothic"/>
          <w:sz w:val="20"/>
          <w:szCs w:val="20"/>
        </w:rPr>
        <w:t>Laisvės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al. 13), VI </w:t>
      </w:r>
      <w:proofErr w:type="spellStart"/>
      <w:r w:rsidRPr="000555E8">
        <w:rPr>
          <w:rFonts w:ascii="Century Gothic" w:hAnsi="Century Gothic"/>
          <w:sz w:val="20"/>
          <w:szCs w:val="20"/>
        </w:rPr>
        <w:t>aukšto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salėje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nuo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10 val.</w:t>
      </w:r>
    </w:p>
    <w:p w:rsidR="00EB31B4" w:rsidRPr="000555E8" w:rsidRDefault="00EB31B4" w:rsidP="00EB31B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0555E8">
        <w:rPr>
          <w:rFonts w:ascii="Century Gothic" w:hAnsi="Century Gothic"/>
          <w:sz w:val="20"/>
          <w:szCs w:val="20"/>
        </w:rPr>
        <w:t>Konferencijos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kalba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0555E8">
        <w:rPr>
          <w:rFonts w:ascii="Century Gothic" w:hAnsi="Century Gothic"/>
          <w:sz w:val="20"/>
          <w:szCs w:val="20"/>
        </w:rPr>
        <w:t>lietuvių</w:t>
      </w:r>
      <w:proofErr w:type="spellEnd"/>
      <w:r w:rsidRPr="000555E8">
        <w:rPr>
          <w:rFonts w:ascii="Century Gothic" w:hAnsi="Century Gothic"/>
          <w:sz w:val="20"/>
          <w:szCs w:val="20"/>
        </w:rPr>
        <w:t>.</w:t>
      </w:r>
    </w:p>
    <w:p w:rsidR="000555E8" w:rsidRPr="000555E8" w:rsidRDefault="000555E8" w:rsidP="00EB31B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Visiems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konferencijos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aktyviesiems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pranešimų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autor</w:t>
      </w:r>
      <w:r w:rsidR="00702000">
        <w:rPr>
          <w:rFonts w:ascii="Century Gothic" w:hAnsi="Century Gothic"/>
          <w:sz w:val="20"/>
          <w:szCs w:val="20"/>
        </w:rPr>
        <w:t>iams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02000">
        <w:rPr>
          <w:rFonts w:ascii="Century Gothic" w:hAnsi="Century Gothic"/>
          <w:sz w:val="20"/>
          <w:szCs w:val="20"/>
        </w:rPr>
        <w:t>atvirųjų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pamokų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lektoriams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="00702000">
        <w:rPr>
          <w:rFonts w:ascii="Century Gothic" w:hAnsi="Century Gothic"/>
          <w:sz w:val="20"/>
          <w:szCs w:val="20"/>
        </w:rPr>
        <w:t>bei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pasyviesiems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702000">
        <w:rPr>
          <w:rFonts w:ascii="Century Gothic" w:hAnsi="Century Gothic"/>
          <w:sz w:val="20"/>
          <w:szCs w:val="20"/>
        </w:rPr>
        <w:t>pristatomų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pranešimų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klausytojams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02000">
        <w:rPr>
          <w:rFonts w:ascii="Century Gothic" w:hAnsi="Century Gothic"/>
          <w:sz w:val="20"/>
          <w:szCs w:val="20"/>
        </w:rPr>
        <w:t>atvirųjų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pamokų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stebėtojams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="00702000">
        <w:rPr>
          <w:rFonts w:ascii="Century Gothic" w:hAnsi="Century Gothic"/>
          <w:sz w:val="20"/>
          <w:szCs w:val="20"/>
        </w:rPr>
        <w:t>dalyviams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bus </w:t>
      </w:r>
      <w:proofErr w:type="spellStart"/>
      <w:r w:rsidR="00702000">
        <w:rPr>
          <w:rFonts w:ascii="Century Gothic" w:hAnsi="Century Gothic"/>
          <w:sz w:val="20"/>
          <w:szCs w:val="20"/>
        </w:rPr>
        <w:t>išduodami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Kauno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I-</w:t>
      </w:r>
      <w:proofErr w:type="spellStart"/>
      <w:r w:rsidR="00702000">
        <w:rPr>
          <w:rFonts w:ascii="Century Gothic" w:hAnsi="Century Gothic"/>
          <w:sz w:val="20"/>
          <w:szCs w:val="20"/>
        </w:rPr>
        <w:t>sios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muzikos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mokyklos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="00702000">
        <w:rPr>
          <w:rFonts w:ascii="Century Gothic" w:hAnsi="Century Gothic"/>
          <w:sz w:val="20"/>
          <w:szCs w:val="20"/>
        </w:rPr>
        <w:t>Kauno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technologijos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universiteto</w:t>
      </w:r>
      <w:proofErr w:type="spellEnd"/>
      <w:r w:rsidR="007020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2000">
        <w:rPr>
          <w:rFonts w:ascii="Century Gothic" w:hAnsi="Century Gothic"/>
          <w:sz w:val="20"/>
          <w:szCs w:val="20"/>
        </w:rPr>
        <w:t>pažymėjimai</w:t>
      </w:r>
      <w:proofErr w:type="spellEnd"/>
      <w:r w:rsidR="00702000">
        <w:rPr>
          <w:rFonts w:ascii="Century Gothic" w:hAnsi="Century Gothic"/>
          <w:sz w:val="20"/>
          <w:szCs w:val="20"/>
        </w:rPr>
        <w:t>.</w:t>
      </w:r>
    </w:p>
    <w:p w:rsidR="00EB31B4" w:rsidRPr="000555E8" w:rsidRDefault="00EB31B4" w:rsidP="00EB31B4">
      <w:pPr>
        <w:pStyle w:val="ListParagraph"/>
        <w:spacing w:after="0"/>
        <w:jc w:val="both"/>
        <w:rPr>
          <w:rFonts w:ascii="Century Gothic" w:hAnsi="Century Gothic"/>
          <w:b/>
        </w:rPr>
      </w:pPr>
    </w:p>
    <w:p w:rsidR="00FD3439" w:rsidRPr="000555E8" w:rsidRDefault="00EB31B4" w:rsidP="00FD3439">
      <w:pPr>
        <w:spacing w:after="0"/>
        <w:jc w:val="both"/>
        <w:rPr>
          <w:rFonts w:ascii="Century Gothic" w:hAnsi="Century Gothic"/>
          <w:b/>
        </w:rPr>
      </w:pPr>
      <w:r w:rsidRPr="000555E8">
        <w:rPr>
          <w:rFonts w:ascii="Century Gothic" w:hAnsi="Century Gothic"/>
          <w:b/>
        </w:rPr>
        <w:t>II. KONFERENCIJOS TIKSLAS</w:t>
      </w:r>
      <w:r w:rsidR="000555E8">
        <w:rPr>
          <w:rFonts w:ascii="Century Gothic" w:hAnsi="Century Gothic"/>
          <w:b/>
        </w:rPr>
        <w:t>:</w:t>
      </w:r>
    </w:p>
    <w:p w:rsidR="00EB31B4" w:rsidRPr="000555E8" w:rsidRDefault="00EB31B4" w:rsidP="00EB31B4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proofErr w:type="spellStart"/>
      <w:r w:rsidRPr="000555E8">
        <w:rPr>
          <w:rFonts w:ascii="Century Gothic" w:hAnsi="Century Gothic"/>
          <w:sz w:val="20"/>
          <w:szCs w:val="20"/>
        </w:rPr>
        <w:t>Pasidalinti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gerąja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patirtimi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ugdant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mokinių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kūrybiškumą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ir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aukštesniuosius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mąstymo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gebėjimus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interpretuojant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programinės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muzikos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color w:val="000000" w:themeColor="text1"/>
          <w:sz w:val="20"/>
          <w:szCs w:val="20"/>
        </w:rPr>
        <w:t>kūrinius</w:t>
      </w:r>
      <w:proofErr w:type="spellEnd"/>
      <w:r w:rsidRPr="000555E8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0555E8" w:rsidRPr="000555E8" w:rsidRDefault="000555E8" w:rsidP="000555E8">
      <w:pPr>
        <w:pStyle w:val="ListParagraph"/>
        <w:spacing w:after="0"/>
        <w:jc w:val="both"/>
        <w:rPr>
          <w:rFonts w:ascii="Century Gothic" w:hAnsi="Century Gothic"/>
          <w:b/>
          <w:color w:val="000000" w:themeColor="text1"/>
        </w:rPr>
      </w:pPr>
    </w:p>
    <w:p w:rsidR="00EB31B4" w:rsidRPr="000555E8" w:rsidRDefault="00EB31B4" w:rsidP="00EB31B4">
      <w:pPr>
        <w:spacing w:after="0"/>
        <w:jc w:val="both"/>
        <w:rPr>
          <w:rFonts w:ascii="Century Gothic" w:hAnsi="Century Gothic"/>
          <w:b/>
          <w:color w:val="000000" w:themeColor="text1"/>
        </w:rPr>
      </w:pPr>
      <w:r w:rsidRPr="000555E8">
        <w:rPr>
          <w:rFonts w:ascii="Century Gothic" w:hAnsi="Century Gothic"/>
          <w:b/>
          <w:color w:val="000000" w:themeColor="text1"/>
        </w:rPr>
        <w:t>III. KONFERENCIJOS UŽDAVINIAI</w:t>
      </w:r>
      <w:r w:rsidR="000555E8">
        <w:rPr>
          <w:rFonts w:ascii="Century Gothic" w:hAnsi="Century Gothic"/>
          <w:b/>
          <w:color w:val="000000" w:themeColor="text1"/>
        </w:rPr>
        <w:t>:</w:t>
      </w:r>
    </w:p>
    <w:p w:rsidR="00EB31B4" w:rsidRPr="000555E8" w:rsidRDefault="000555E8" w:rsidP="00EB31B4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0555E8">
        <w:rPr>
          <w:rFonts w:ascii="Century Gothic" w:hAnsi="Century Gothic"/>
          <w:sz w:val="20"/>
          <w:szCs w:val="20"/>
        </w:rPr>
        <w:t xml:space="preserve">MOKINIAMS: </w:t>
      </w:r>
      <w:proofErr w:type="spellStart"/>
      <w:r w:rsidRPr="000555E8">
        <w:rPr>
          <w:rFonts w:ascii="Century Gothic" w:hAnsi="Century Gothic"/>
          <w:sz w:val="20"/>
          <w:szCs w:val="20"/>
        </w:rPr>
        <w:t>p</w:t>
      </w:r>
      <w:r w:rsidR="00EB31B4" w:rsidRPr="000555E8">
        <w:rPr>
          <w:rFonts w:ascii="Century Gothic" w:hAnsi="Century Gothic"/>
          <w:sz w:val="20"/>
          <w:szCs w:val="20"/>
        </w:rPr>
        <w:t>lėtoti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mokinių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kūrybines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atlikėjiškas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muzikos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kūrinių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interpretacijos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kompetencijas</w:t>
      </w:r>
      <w:proofErr w:type="spellEnd"/>
      <w:r w:rsidRPr="000555E8">
        <w:rPr>
          <w:rFonts w:ascii="Century Gothic" w:hAnsi="Century Gothic"/>
          <w:sz w:val="20"/>
          <w:szCs w:val="20"/>
        </w:rPr>
        <w:t>;</w:t>
      </w:r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gebėjimus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ieškot</w:t>
      </w:r>
      <w:r w:rsidRPr="000555E8">
        <w:rPr>
          <w:rFonts w:ascii="Century Gothic" w:hAnsi="Century Gothic"/>
          <w:sz w:val="20"/>
          <w:szCs w:val="20"/>
        </w:rPr>
        <w:t>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kurti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atrasti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apibendrinti</w:t>
      </w:r>
      <w:proofErr w:type="spellEnd"/>
      <w:r w:rsidRPr="000555E8">
        <w:rPr>
          <w:rFonts w:ascii="Century Gothic" w:hAnsi="Century Gothic"/>
          <w:sz w:val="20"/>
          <w:szCs w:val="20"/>
        </w:rPr>
        <w:t>;</w:t>
      </w:r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įgytas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žinias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ir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kompetencijas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perteikti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atlikimo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praktikos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31B4" w:rsidRPr="000555E8">
        <w:rPr>
          <w:rFonts w:ascii="Century Gothic" w:hAnsi="Century Gothic"/>
          <w:sz w:val="20"/>
          <w:szCs w:val="20"/>
        </w:rPr>
        <w:t>metu</w:t>
      </w:r>
      <w:proofErr w:type="spellEnd"/>
      <w:r w:rsidR="00EB31B4" w:rsidRPr="000555E8">
        <w:rPr>
          <w:rFonts w:ascii="Century Gothic" w:hAnsi="Century Gothic"/>
          <w:sz w:val="20"/>
          <w:szCs w:val="20"/>
        </w:rPr>
        <w:t>.</w:t>
      </w:r>
    </w:p>
    <w:p w:rsidR="00FD3439" w:rsidRPr="000555E8" w:rsidRDefault="000555E8" w:rsidP="00FD3439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0555E8">
        <w:rPr>
          <w:rFonts w:ascii="Century Gothic" w:hAnsi="Century Gothic"/>
          <w:sz w:val="20"/>
          <w:szCs w:val="20"/>
        </w:rPr>
        <w:t xml:space="preserve">MOKYTOJAMS: </w:t>
      </w:r>
      <w:proofErr w:type="spellStart"/>
      <w:r w:rsidRPr="000555E8">
        <w:rPr>
          <w:rFonts w:ascii="Century Gothic" w:hAnsi="Century Gothic"/>
          <w:sz w:val="20"/>
          <w:szCs w:val="20"/>
        </w:rPr>
        <w:t>ugdyti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viešo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kalbėjimo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pranešimų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rengimo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pristatymo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555E8">
        <w:rPr>
          <w:rFonts w:ascii="Century Gothic" w:hAnsi="Century Gothic"/>
          <w:sz w:val="20"/>
          <w:szCs w:val="20"/>
        </w:rPr>
        <w:t>bendradarbiavimo</w:t>
      </w:r>
      <w:proofErr w:type="spellEnd"/>
      <w:r w:rsidR="006A6F4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A6F48">
        <w:rPr>
          <w:rFonts w:ascii="Century Gothic" w:hAnsi="Century Gothic"/>
          <w:sz w:val="20"/>
          <w:szCs w:val="20"/>
        </w:rPr>
        <w:t>savirefleksijos</w:t>
      </w:r>
      <w:proofErr w:type="spellEnd"/>
      <w:r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555E8">
        <w:rPr>
          <w:rFonts w:ascii="Century Gothic" w:hAnsi="Century Gothic"/>
          <w:sz w:val="20"/>
          <w:szCs w:val="20"/>
        </w:rPr>
        <w:t>įgūdžius</w:t>
      </w:r>
      <w:proofErr w:type="spellEnd"/>
      <w:r w:rsidRPr="000555E8">
        <w:rPr>
          <w:rFonts w:ascii="Century Gothic" w:hAnsi="Century Gothic"/>
          <w:sz w:val="20"/>
          <w:szCs w:val="20"/>
        </w:rPr>
        <w:t>.</w:t>
      </w:r>
    </w:p>
    <w:p w:rsidR="000555E8" w:rsidRPr="000555E8" w:rsidRDefault="000555E8" w:rsidP="000555E8">
      <w:pPr>
        <w:spacing w:after="0"/>
        <w:jc w:val="both"/>
        <w:rPr>
          <w:rFonts w:ascii="Century Gothic" w:hAnsi="Century Gothic"/>
          <w:b/>
        </w:rPr>
      </w:pPr>
    </w:p>
    <w:p w:rsidR="00EB31B4" w:rsidRPr="000555E8" w:rsidRDefault="000555E8" w:rsidP="00FD3439">
      <w:pPr>
        <w:spacing w:after="0"/>
        <w:jc w:val="both"/>
        <w:rPr>
          <w:rFonts w:ascii="Century Gothic" w:hAnsi="Century Gothic"/>
          <w:b/>
        </w:rPr>
      </w:pPr>
      <w:r w:rsidRPr="000555E8">
        <w:rPr>
          <w:rFonts w:ascii="Century Gothic" w:hAnsi="Century Gothic"/>
          <w:b/>
        </w:rPr>
        <w:t>I</w:t>
      </w:r>
      <w:r w:rsidR="00EB31B4" w:rsidRPr="000555E8">
        <w:rPr>
          <w:rFonts w:ascii="Century Gothic" w:hAnsi="Century Gothic"/>
          <w:b/>
        </w:rPr>
        <w:t>V. KONFERENCIJOS DALYVIAI</w:t>
      </w:r>
      <w:r>
        <w:rPr>
          <w:rFonts w:ascii="Century Gothic" w:hAnsi="Century Gothic"/>
          <w:b/>
        </w:rPr>
        <w:t>:</w:t>
      </w:r>
    </w:p>
    <w:p w:rsidR="000555E8" w:rsidRPr="000555E8" w:rsidRDefault="00702000" w:rsidP="000555E8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Mokytojai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mokiniai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iš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Lietuvos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Respublikos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neformaliojo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mokinių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švietimo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įstaigų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aukštųjų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mokyklų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konservatorijų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555E8" w:rsidRPr="000555E8">
        <w:rPr>
          <w:rFonts w:ascii="Century Gothic" w:hAnsi="Century Gothic"/>
          <w:sz w:val="20"/>
          <w:szCs w:val="20"/>
        </w:rPr>
        <w:t>dėstytojai</w:t>
      </w:r>
      <w:proofErr w:type="spellEnd"/>
      <w:r w:rsidR="000555E8" w:rsidRPr="000555E8">
        <w:rPr>
          <w:rFonts w:ascii="Century Gothic" w:hAnsi="Century Gothic"/>
          <w:sz w:val="20"/>
          <w:szCs w:val="20"/>
        </w:rPr>
        <w:t>.</w:t>
      </w:r>
    </w:p>
    <w:p w:rsidR="000555E8" w:rsidRDefault="000555E8" w:rsidP="000555E8">
      <w:pPr>
        <w:spacing w:after="0"/>
        <w:jc w:val="both"/>
        <w:rPr>
          <w:rFonts w:ascii="Century Gothic" w:hAnsi="Century Gothic"/>
          <w:b/>
        </w:rPr>
      </w:pPr>
    </w:p>
    <w:p w:rsidR="00702000" w:rsidRPr="000555E8" w:rsidRDefault="00702000" w:rsidP="000555E8">
      <w:pPr>
        <w:spacing w:after="0"/>
        <w:jc w:val="both"/>
        <w:rPr>
          <w:rFonts w:ascii="Century Gothic" w:hAnsi="Century Gothic"/>
          <w:b/>
        </w:rPr>
      </w:pPr>
    </w:p>
    <w:p w:rsidR="007F1FF0" w:rsidRDefault="007F1FF0" w:rsidP="000555E8">
      <w:pPr>
        <w:spacing w:after="0"/>
        <w:jc w:val="both"/>
        <w:rPr>
          <w:rFonts w:ascii="Century Gothic" w:hAnsi="Century Gothic"/>
          <w:b/>
        </w:rPr>
      </w:pPr>
    </w:p>
    <w:p w:rsidR="000555E8" w:rsidRPr="000555E8" w:rsidRDefault="000555E8" w:rsidP="000555E8">
      <w:pPr>
        <w:spacing w:after="0"/>
        <w:jc w:val="both"/>
        <w:rPr>
          <w:rFonts w:ascii="Century Gothic" w:hAnsi="Century Gothic"/>
          <w:b/>
        </w:rPr>
      </w:pPr>
      <w:r w:rsidRPr="000555E8">
        <w:rPr>
          <w:rFonts w:ascii="Century Gothic" w:hAnsi="Century Gothic"/>
          <w:b/>
        </w:rPr>
        <w:lastRenderedPageBreak/>
        <w:t>V. KONFERENCIJOS STRUKTŪRA</w:t>
      </w:r>
      <w:r>
        <w:rPr>
          <w:rFonts w:ascii="Century Gothic" w:hAnsi="Century Gothic"/>
          <w:b/>
        </w:rPr>
        <w:t>:</w:t>
      </w:r>
    </w:p>
    <w:p w:rsidR="00702000" w:rsidRPr="000555E8" w:rsidRDefault="00702000" w:rsidP="000555E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323" w:type="dxa"/>
        <w:tblInd w:w="-405" w:type="dxa"/>
        <w:tblLook w:val="04A0"/>
      </w:tblPr>
      <w:tblGrid>
        <w:gridCol w:w="1998"/>
        <w:gridCol w:w="5400"/>
        <w:gridCol w:w="2925"/>
      </w:tblGrid>
      <w:tr w:rsidR="00702000" w:rsidTr="009753B0">
        <w:trPr>
          <w:trHeight w:val="770"/>
        </w:trPr>
        <w:tc>
          <w:tcPr>
            <w:tcW w:w="10323" w:type="dxa"/>
            <w:gridSpan w:val="3"/>
          </w:tcPr>
          <w:p w:rsidR="007C7936" w:rsidRDefault="007C7936" w:rsidP="000555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02000" w:rsidRDefault="006A6F48" w:rsidP="000555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Konferencijos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teorinėje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dalyje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bus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pateikti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pranešimai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nagrinėjantys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b/>
                <w:sz w:val="20"/>
                <w:szCs w:val="20"/>
              </w:rPr>
              <w:t>fortepijono</w:t>
            </w:r>
            <w:proofErr w:type="spellEnd"/>
            <w:r w:rsidR="007C7936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7C7936" w:rsidRPr="007C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b/>
                <w:sz w:val="20"/>
                <w:szCs w:val="20"/>
              </w:rPr>
              <w:t>ak</w:t>
            </w:r>
            <w:r w:rsidR="000549F5">
              <w:rPr>
                <w:rFonts w:ascii="Century Gothic" w:hAnsi="Century Gothic"/>
                <w:b/>
                <w:sz w:val="20"/>
                <w:szCs w:val="20"/>
              </w:rPr>
              <w:t>ordeono</w:t>
            </w:r>
            <w:proofErr w:type="spellEnd"/>
            <w:r w:rsidR="000549F5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="007C7936" w:rsidRPr="007C7936">
              <w:rPr>
                <w:rFonts w:ascii="Century Gothic" w:hAnsi="Century Gothic"/>
                <w:b/>
                <w:sz w:val="20"/>
                <w:szCs w:val="20"/>
              </w:rPr>
              <w:t>gitaros</w:t>
            </w:r>
            <w:proofErr w:type="spellEnd"/>
            <w:r w:rsidR="007C7936" w:rsidRPr="007C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programinės</w:t>
            </w:r>
            <w:proofErr w:type="spellEnd"/>
            <w:r w:rsidR="007C7936" w:rsidRP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 w:rsidRPr="007C7936">
              <w:rPr>
                <w:rFonts w:ascii="Century Gothic" w:hAnsi="Century Gothic"/>
                <w:sz w:val="20"/>
                <w:szCs w:val="20"/>
              </w:rPr>
              <w:t>muziko</w:t>
            </w:r>
            <w:r w:rsidR="007C7936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>
              <w:rPr>
                <w:rFonts w:ascii="Century Gothic" w:hAnsi="Century Gothic"/>
                <w:sz w:val="20"/>
                <w:szCs w:val="20"/>
              </w:rPr>
              <w:t>kūrinių</w:t>
            </w:r>
            <w:proofErr w:type="spellEnd"/>
            <w:r w:rsid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>
              <w:rPr>
                <w:rFonts w:ascii="Century Gothic" w:hAnsi="Century Gothic"/>
                <w:sz w:val="20"/>
                <w:szCs w:val="20"/>
              </w:rPr>
              <w:t>interpretacijos</w:t>
            </w:r>
            <w:proofErr w:type="spellEnd"/>
            <w:r w:rsidR="007C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C7936">
              <w:rPr>
                <w:rFonts w:ascii="Century Gothic" w:hAnsi="Century Gothic"/>
                <w:sz w:val="20"/>
                <w:szCs w:val="20"/>
              </w:rPr>
              <w:t>ypatumus</w:t>
            </w:r>
            <w:proofErr w:type="spellEnd"/>
            <w:r w:rsidR="00913D6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C7936" w:rsidRDefault="007C7936" w:rsidP="000555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C7936" w:rsidRDefault="007C7936" w:rsidP="000555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Praktinių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užsiėmimų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keturiose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skirtingose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auditorijose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lektoriai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nusipelnę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savo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srities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atlikimo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pedagogai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praktikai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atvirų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pamokų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forma,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dirbant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konferencijos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dalyviais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individualiai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nagrinės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programinės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interpretavimo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ypatumus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stiliaus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žanro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kūrinio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kompozitoriaus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kūrybos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braižo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muzikologiniu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istoriniu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kontekstu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C7936" w:rsidRPr="007C7936" w:rsidRDefault="007C7936" w:rsidP="000555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2000" w:rsidTr="009753B0">
        <w:trPr>
          <w:trHeight w:val="953"/>
        </w:trPr>
        <w:tc>
          <w:tcPr>
            <w:tcW w:w="1998" w:type="dxa"/>
          </w:tcPr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020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KONFERENCIJOS STRUKTŪRA</w:t>
            </w:r>
          </w:p>
        </w:tc>
        <w:tc>
          <w:tcPr>
            <w:tcW w:w="5400" w:type="dxa"/>
          </w:tcPr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020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ŽINIŲ</w:t>
            </w:r>
            <w:r w:rsidR="00D1742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IR KOMPETENCIJŲ PATEIKIMO / </w:t>
            </w:r>
            <w:proofErr w:type="spellStart"/>
            <w:r w:rsidR="00D1742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ĮGi</w:t>
            </w:r>
            <w:r w:rsidRPr="007020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JIMO</w:t>
            </w:r>
            <w:proofErr w:type="spellEnd"/>
            <w:r w:rsidRPr="007020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FORMA</w:t>
            </w:r>
          </w:p>
        </w:tc>
        <w:tc>
          <w:tcPr>
            <w:tcW w:w="2925" w:type="dxa"/>
          </w:tcPr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702000" w:rsidRPr="00702000" w:rsidRDefault="00702000" w:rsidP="00702000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020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VIETA IR LAIKAS</w:t>
            </w:r>
          </w:p>
        </w:tc>
      </w:tr>
      <w:tr w:rsidR="00702000" w:rsidTr="009753B0">
        <w:trPr>
          <w:trHeight w:val="383"/>
        </w:trPr>
        <w:tc>
          <w:tcPr>
            <w:tcW w:w="1998" w:type="dxa"/>
            <w:vMerge w:val="restart"/>
          </w:tcPr>
          <w:p w:rsidR="00702000" w:rsidRDefault="00702000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7E0E" w:rsidRDefault="00937E0E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000" w:rsidRDefault="00702000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 ETAPAS</w:t>
            </w:r>
          </w:p>
        </w:tc>
        <w:tc>
          <w:tcPr>
            <w:tcW w:w="5400" w:type="dxa"/>
          </w:tcPr>
          <w:p w:rsidR="009E3660" w:rsidRDefault="009E3660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2000" w:rsidRDefault="00913D64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Teoriniai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pranešimų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pristatymai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programinės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muzikos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interpretacijos</w:t>
            </w:r>
            <w:proofErr w:type="spellEnd"/>
            <w:r w:rsidRPr="00913D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13D64">
              <w:rPr>
                <w:rFonts w:ascii="Century Gothic" w:hAnsi="Century Gothic"/>
                <w:sz w:val="20"/>
                <w:szCs w:val="20"/>
              </w:rPr>
              <w:t>klausimais</w:t>
            </w:r>
            <w:proofErr w:type="spellEnd"/>
          </w:p>
          <w:p w:rsidR="009E3660" w:rsidRPr="00913D64" w:rsidRDefault="009E3660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</w:tcPr>
          <w:p w:rsidR="00937E0E" w:rsidRDefault="00937E0E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7E0E" w:rsidRDefault="00937E0E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000" w:rsidRDefault="007C79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KTU III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rūmai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VI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aukšto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salė</w:t>
            </w:r>
            <w:proofErr w:type="spellEnd"/>
          </w:p>
          <w:p w:rsidR="00C66336" w:rsidRDefault="00C663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7C79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Nuo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iki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valandos</w:t>
            </w:r>
            <w:proofErr w:type="spellEnd"/>
          </w:p>
        </w:tc>
      </w:tr>
      <w:tr w:rsidR="00702000" w:rsidTr="009753B0">
        <w:trPr>
          <w:trHeight w:val="382"/>
        </w:trPr>
        <w:tc>
          <w:tcPr>
            <w:tcW w:w="1998" w:type="dxa"/>
            <w:vMerge/>
          </w:tcPr>
          <w:p w:rsidR="00702000" w:rsidRDefault="00702000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9E3660" w:rsidRDefault="009E3660" w:rsidP="00913D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702000" w:rsidRPr="002A1888" w:rsidRDefault="00913D64" w:rsidP="00913D6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Naudojant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multimediją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bus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pristatomi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teoriniai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–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muzikologiniai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pranešimai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nagrinėjantys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programinę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muziką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jos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kūrėjus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žanro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interpretavimo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tradicijas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kanonus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:rsidR="009E3660" w:rsidRPr="00913D64" w:rsidRDefault="009E3660" w:rsidP="00913D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925" w:type="dxa"/>
            <w:vMerge/>
          </w:tcPr>
          <w:p w:rsidR="00702000" w:rsidRDefault="00702000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C7936" w:rsidTr="009753B0">
        <w:trPr>
          <w:trHeight w:val="383"/>
        </w:trPr>
        <w:tc>
          <w:tcPr>
            <w:tcW w:w="1998" w:type="dxa"/>
            <w:vMerge w:val="restart"/>
          </w:tcPr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II ETAPAS</w:t>
            </w:r>
          </w:p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9E3660" w:rsidRDefault="009E3660" w:rsidP="00B75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C7936" w:rsidRDefault="00B750EA" w:rsidP="00B75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Praktinė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konferencijos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dalis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kurios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konferencijos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dalyviai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lektoriais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analizuodami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atliekamus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programinės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kūrinius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gilinsis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į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stilistinius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interpretavimo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sprendimus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E3660" w:rsidRPr="00B750EA" w:rsidRDefault="009E3660" w:rsidP="00B75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</w:tcPr>
          <w:p w:rsidR="00C66336" w:rsidRDefault="00C663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6336" w:rsidRDefault="00C663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7C79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KTU III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rūmai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VI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aukšto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salė</w:t>
            </w:r>
            <w:proofErr w:type="spellEnd"/>
          </w:p>
          <w:p w:rsidR="00C66336" w:rsidRDefault="00C663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854B91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Nuo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12</w:t>
            </w:r>
            <w:r w:rsidR="007C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C7936">
              <w:rPr>
                <w:rFonts w:ascii="Century Gothic" w:hAnsi="Century Gothic"/>
                <w:b/>
                <w:sz w:val="20"/>
                <w:szCs w:val="20"/>
              </w:rPr>
              <w:t>iki</w:t>
            </w:r>
            <w:proofErr w:type="spellEnd"/>
            <w:r w:rsidR="007C7936">
              <w:rPr>
                <w:rFonts w:ascii="Century Gothic" w:hAnsi="Century Gothic"/>
                <w:b/>
                <w:sz w:val="20"/>
                <w:szCs w:val="20"/>
              </w:rPr>
              <w:t xml:space="preserve"> 16 </w:t>
            </w:r>
            <w:proofErr w:type="spellStart"/>
            <w:r w:rsidR="007C7936">
              <w:rPr>
                <w:rFonts w:ascii="Century Gothic" w:hAnsi="Century Gothic"/>
                <w:b/>
                <w:sz w:val="20"/>
                <w:szCs w:val="20"/>
              </w:rPr>
              <w:t>valandos</w:t>
            </w:r>
            <w:proofErr w:type="spellEnd"/>
          </w:p>
        </w:tc>
      </w:tr>
      <w:tr w:rsidR="007C7936" w:rsidTr="009753B0">
        <w:trPr>
          <w:trHeight w:val="382"/>
        </w:trPr>
        <w:tc>
          <w:tcPr>
            <w:tcW w:w="1998" w:type="dxa"/>
            <w:vMerge/>
          </w:tcPr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9E3660" w:rsidRDefault="009E3660" w:rsidP="009E366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7C7936" w:rsidRPr="002A1888" w:rsidRDefault="00B750EA" w:rsidP="009E3660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Atvi</w:t>
            </w:r>
            <w:r w:rsidR="006A6F48">
              <w:rPr>
                <w:rFonts w:ascii="Century Gothic" w:hAnsi="Century Gothic"/>
                <w:i/>
                <w:sz w:val="20"/>
                <w:szCs w:val="20"/>
              </w:rPr>
              <w:t>ros</w:t>
            </w:r>
            <w:proofErr w:type="spellEnd"/>
            <w:r w:rsidR="006A6F4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6A6F48">
              <w:rPr>
                <w:rFonts w:ascii="Century Gothic" w:hAnsi="Century Gothic"/>
                <w:i/>
                <w:sz w:val="20"/>
                <w:szCs w:val="20"/>
              </w:rPr>
              <w:t>pamokos</w:t>
            </w:r>
            <w:proofErr w:type="spellEnd"/>
            <w:r w:rsidR="006A6F48">
              <w:rPr>
                <w:rFonts w:ascii="Century Gothic" w:hAnsi="Century Gothic"/>
                <w:i/>
                <w:sz w:val="20"/>
                <w:szCs w:val="20"/>
              </w:rPr>
              <w:t xml:space="preserve"> forma </w:t>
            </w:r>
            <w:proofErr w:type="spellStart"/>
            <w:r w:rsidR="006A6F48">
              <w:rPr>
                <w:rFonts w:ascii="Century Gothic" w:hAnsi="Century Gothic"/>
                <w:i/>
                <w:sz w:val="20"/>
                <w:szCs w:val="20"/>
              </w:rPr>
              <w:t>lektoriai</w:t>
            </w:r>
            <w:proofErr w:type="spellEnd"/>
            <w:r w:rsidR="006A6F4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6A6F48">
              <w:rPr>
                <w:rFonts w:ascii="Century Gothic" w:hAnsi="Century Gothic"/>
                <w:i/>
                <w:sz w:val="20"/>
                <w:szCs w:val="20"/>
              </w:rPr>
              <w:t>pro</w:t>
            </w:r>
            <w:r w:rsidRPr="002A1888"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r w:rsidR="006A6F48">
              <w:rPr>
                <w:rFonts w:ascii="Century Gothic" w:hAnsi="Century Gothic"/>
                <w:i/>
                <w:sz w:val="20"/>
                <w:szCs w:val="20"/>
              </w:rPr>
              <w:t>r</w:t>
            </w:r>
            <w:r w:rsidRPr="002A1888">
              <w:rPr>
                <w:rFonts w:ascii="Century Gothic" w:hAnsi="Century Gothic"/>
                <w:i/>
                <w:sz w:val="20"/>
                <w:szCs w:val="20"/>
              </w:rPr>
              <w:t>aminių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kūrinių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atlikėjams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mokiniams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)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formuos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teisingus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programinės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muzikos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interpretavimo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įgūdžius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suteikiant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muzikologinių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istorinių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bei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praktinių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žanrinių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stilistinių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formos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interpretavimo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žinių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kurias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perteikiant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atliekamo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programinio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kūrinio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kontekste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būtų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siekiama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aukštesnio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kūrinio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meninės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interpretacijos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lygio</w:t>
            </w:r>
            <w:proofErr w:type="spellEnd"/>
            <w:r w:rsidR="009E3660" w:rsidRPr="002A1888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  <w:p w:rsidR="009E3660" w:rsidRPr="009E3660" w:rsidRDefault="009E3660" w:rsidP="009E366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925" w:type="dxa"/>
            <w:vMerge/>
          </w:tcPr>
          <w:p w:rsidR="007C7936" w:rsidRDefault="007C79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C7936" w:rsidTr="009753B0">
        <w:trPr>
          <w:trHeight w:val="345"/>
        </w:trPr>
        <w:tc>
          <w:tcPr>
            <w:tcW w:w="1998" w:type="dxa"/>
            <w:vMerge w:val="restart"/>
          </w:tcPr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7E0E" w:rsidRDefault="00937E0E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7C7936" w:rsidP="00B75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III ETAPAS</w:t>
            </w:r>
          </w:p>
        </w:tc>
        <w:tc>
          <w:tcPr>
            <w:tcW w:w="5400" w:type="dxa"/>
          </w:tcPr>
          <w:p w:rsidR="009E3660" w:rsidRDefault="009E3660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C7936" w:rsidRDefault="00913D64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proofErr w:type="spellStart"/>
            <w:r w:rsidR="006A6F48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espubliki</w:t>
            </w:r>
            <w:r w:rsidR="006A6F48">
              <w:rPr>
                <w:rFonts w:ascii="Century Gothic" w:hAnsi="Century Gothic"/>
                <w:sz w:val="20"/>
                <w:szCs w:val="20"/>
              </w:rPr>
              <w:t>ni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festivalis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“MUZIKA, KURI PASAKOJA”</w:t>
            </w:r>
          </w:p>
          <w:p w:rsidR="009E3660" w:rsidRPr="00913D64" w:rsidRDefault="009E3660" w:rsidP="00913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</w:tcPr>
          <w:p w:rsidR="00937E0E" w:rsidRDefault="00937E0E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7E0E" w:rsidRDefault="00937E0E" w:rsidP="00B75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7C79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KTU III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rūmai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VI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aukšto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salė</w:t>
            </w:r>
            <w:proofErr w:type="spellEnd"/>
          </w:p>
          <w:p w:rsidR="00C66336" w:rsidRDefault="00C66336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7936" w:rsidRDefault="00854B91" w:rsidP="007C79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Nuo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iki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19</w:t>
            </w:r>
            <w:r w:rsidR="007C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C7936">
              <w:rPr>
                <w:rFonts w:ascii="Century Gothic" w:hAnsi="Century Gothic"/>
                <w:b/>
                <w:sz w:val="20"/>
                <w:szCs w:val="20"/>
              </w:rPr>
              <w:t>valandos</w:t>
            </w:r>
            <w:proofErr w:type="spellEnd"/>
          </w:p>
        </w:tc>
      </w:tr>
      <w:tr w:rsidR="007C7936" w:rsidTr="009753B0">
        <w:trPr>
          <w:trHeight w:val="345"/>
        </w:trPr>
        <w:tc>
          <w:tcPr>
            <w:tcW w:w="1998" w:type="dxa"/>
            <w:vMerge/>
          </w:tcPr>
          <w:p w:rsidR="007C7936" w:rsidRDefault="007C7936" w:rsidP="007020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9E3660" w:rsidRDefault="009E3660" w:rsidP="00B750E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7C7936" w:rsidRPr="002A1888" w:rsidRDefault="00913D64" w:rsidP="00B750E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Grįžtamuoju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ryšiu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grįstas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III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konferencijos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etapas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–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festivalis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kurio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metu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visi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aktyviej</w:t>
            </w:r>
            <w:r w:rsidR="00B750EA" w:rsidRPr="002A1888">
              <w:rPr>
                <w:rFonts w:ascii="Century Gothic" w:hAnsi="Century Gothic"/>
                <w:i/>
                <w:sz w:val="20"/>
                <w:szCs w:val="20"/>
              </w:rPr>
              <w:t>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konferencijos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dalyviai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atlikdami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II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konferencijos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etape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interpretacinės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analizės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būdų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dekonstruotus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kūrinius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pademonstruos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ir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įtvirtins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naujai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įgytas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programinės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muzikos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interpretavimo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žinias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bei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suformuotus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įgūdžius</w:t>
            </w:r>
            <w:proofErr w:type="spellEnd"/>
            <w:r w:rsidRPr="002A1888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:rsidR="009E3660" w:rsidRPr="00937E0E" w:rsidRDefault="009E3660" w:rsidP="00B750E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925" w:type="dxa"/>
            <w:vMerge/>
          </w:tcPr>
          <w:p w:rsidR="007C7936" w:rsidRDefault="007C7936" w:rsidP="000555E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6336" w:rsidRDefault="00C66336" w:rsidP="00FD343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C66336" w:rsidRPr="000555E8" w:rsidRDefault="00C66336" w:rsidP="00C66336">
      <w:pPr>
        <w:spacing w:after="0"/>
        <w:jc w:val="both"/>
        <w:rPr>
          <w:rFonts w:ascii="Century Gothic" w:hAnsi="Century Gothic"/>
          <w:b/>
        </w:rPr>
      </w:pPr>
      <w:r w:rsidRPr="000555E8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>I</w:t>
      </w:r>
      <w:r w:rsidRPr="000555E8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>KONFERENCIJOS SEKCIJOS:</w:t>
      </w:r>
    </w:p>
    <w:p w:rsidR="00C66336" w:rsidRPr="00FD3439" w:rsidRDefault="00C66336" w:rsidP="00FD343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323" w:type="dxa"/>
        <w:tblInd w:w="-405" w:type="dxa"/>
        <w:tblLook w:val="04A0"/>
      </w:tblPr>
      <w:tblGrid>
        <w:gridCol w:w="2628"/>
        <w:gridCol w:w="945"/>
        <w:gridCol w:w="3825"/>
        <w:gridCol w:w="2925"/>
      </w:tblGrid>
      <w:tr w:rsidR="00854B91" w:rsidTr="00854B91">
        <w:trPr>
          <w:trHeight w:val="770"/>
        </w:trPr>
        <w:tc>
          <w:tcPr>
            <w:tcW w:w="3573" w:type="dxa"/>
            <w:gridSpan w:val="2"/>
          </w:tcPr>
          <w:p w:rsidR="00854B91" w:rsidRDefault="00854B91" w:rsidP="00854B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1913">
              <w:rPr>
                <w:rFonts w:ascii="Century Gothic" w:hAnsi="Century Gothic"/>
                <w:b/>
                <w:sz w:val="20"/>
                <w:szCs w:val="20"/>
              </w:rPr>
              <w:t>KONFERENCIJOS KURATORIUS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54B91" w:rsidRDefault="00854B91" w:rsidP="00854B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54B91" w:rsidRPr="00A31913" w:rsidRDefault="00854B91" w:rsidP="00854B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TĘSTINIO PROJEKTO KOORDINATORIUS/</w:t>
            </w:r>
            <w:r w:rsidRPr="00A31913">
              <w:rPr>
                <w:rFonts w:ascii="Century Gothic" w:hAnsi="Century Gothic"/>
                <w:b/>
                <w:sz w:val="20"/>
                <w:szCs w:val="20"/>
              </w:rPr>
              <w:t xml:space="preserve"> KONFERENCIJOS VADOVAS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2"/>
          </w:tcPr>
          <w:p w:rsidR="00854B91" w:rsidRDefault="00854B91" w:rsidP="00854B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Kauno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mokyklos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direktorius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54B91">
              <w:rPr>
                <w:rFonts w:ascii="Century Gothic" w:hAnsi="Century Gothic"/>
                <w:b/>
                <w:sz w:val="20"/>
                <w:szCs w:val="20"/>
              </w:rPr>
              <w:t>Mindaugas</w:t>
            </w:r>
            <w:proofErr w:type="spellEnd"/>
            <w:r w:rsidRPr="00854B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854B91">
              <w:rPr>
                <w:rFonts w:ascii="Century Gothic" w:hAnsi="Century Gothic"/>
                <w:b/>
                <w:sz w:val="20"/>
                <w:szCs w:val="20"/>
              </w:rPr>
              <w:t>Labanauskas</w:t>
            </w:r>
            <w:proofErr w:type="spellEnd"/>
          </w:p>
          <w:p w:rsidR="00854B91" w:rsidRDefault="00854B91" w:rsidP="00854B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54B91" w:rsidRDefault="00854B91" w:rsidP="00854B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54B91" w:rsidRPr="00854B91" w:rsidRDefault="00854B91" w:rsidP="00854B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Kauno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sios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mokyklos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vyr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54B91">
              <w:rPr>
                <w:rFonts w:ascii="Century Gothic" w:hAnsi="Century Gothic"/>
                <w:b/>
                <w:sz w:val="20"/>
                <w:szCs w:val="20"/>
              </w:rPr>
              <w:t>Domantas</w:t>
            </w:r>
            <w:proofErr w:type="spellEnd"/>
            <w:r w:rsidRPr="00854B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854B91">
              <w:rPr>
                <w:rFonts w:ascii="Century Gothic" w:hAnsi="Century Gothic"/>
                <w:b/>
                <w:sz w:val="20"/>
                <w:szCs w:val="20"/>
              </w:rPr>
              <w:t>Milius</w:t>
            </w:r>
            <w:proofErr w:type="spellEnd"/>
          </w:p>
          <w:p w:rsidR="00854B91" w:rsidRPr="007C7936" w:rsidRDefault="00854B91" w:rsidP="00C6633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6336" w:rsidTr="009753B0">
        <w:trPr>
          <w:trHeight w:val="1250"/>
        </w:trPr>
        <w:tc>
          <w:tcPr>
            <w:tcW w:w="2628" w:type="dxa"/>
          </w:tcPr>
          <w:p w:rsidR="00C66336" w:rsidRPr="003C2F24" w:rsidRDefault="00C66336" w:rsidP="00EE7553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3C2F24" w:rsidRDefault="003C2F24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3C2F24" w:rsidRDefault="003C2F24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C66336" w:rsidRPr="003C2F24" w:rsidRDefault="00C66336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KONFERENCIJOS I ETAPAS</w:t>
            </w:r>
          </w:p>
        </w:tc>
        <w:tc>
          <w:tcPr>
            <w:tcW w:w="4770" w:type="dxa"/>
            <w:gridSpan w:val="2"/>
          </w:tcPr>
          <w:p w:rsidR="003C2F24" w:rsidRPr="003C2F24" w:rsidRDefault="003C2F24" w:rsidP="003C2F24">
            <w:pPr>
              <w:pStyle w:val="ListParagraph"/>
              <w:jc w:val="both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C66336" w:rsidRPr="003C2F24" w:rsidRDefault="00C66336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Dr. M.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Bazaras</w:t>
            </w:r>
            <w:proofErr w:type="spellEnd"/>
          </w:p>
          <w:p w:rsidR="00C66336" w:rsidRPr="003C2F24" w:rsidRDefault="00C66336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Dr. P.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Gudinaitė</w:t>
            </w:r>
            <w:proofErr w:type="spellEnd"/>
          </w:p>
          <w:p w:rsidR="00C66336" w:rsidRPr="003C2F24" w:rsidRDefault="00C66336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D.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Milius</w:t>
            </w:r>
            <w:proofErr w:type="spellEnd"/>
          </w:p>
          <w:p w:rsidR="003C2F24" w:rsidRPr="003C2F24" w:rsidRDefault="009753B0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Dabravolskaitė</w:t>
            </w:r>
            <w:proofErr w:type="spellEnd"/>
          </w:p>
          <w:p w:rsidR="003C2F24" w:rsidRPr="003C2F24" w:rsidRDefault="003C2F24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E.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Žemonė</w:t>
            </w:r>
            <w:proofErr w:type="spellEnd"/>
          </w:p>
          <w:p w:rsidR="003C2F24" w:rsidRPr="003C2F24" w:rsidRDefault="003C2F24" w:rsidP="00854B91">
            <w:pPr>
              <w:pStyle w:val="ListParagraph"/>
              <w:numPr>
                <w:ilvl w:val="0"/>
                <w:numId w:val="4"/>
              </w:numPr>
              <w:ind w:left="1728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E.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Žigaitė</w:t>
            </w:r>
            <w:proofErr w:type="spellEnd"/>
          </w:p>
          <w:p w:rsidR="003C2F24" w:rsidRPr="003C2F24" w:rsidRDefault="003C2F24" w:rsidP="003C2F24">
            <w:pPr>
              <w:pStyle w:val="ListParagraph"/>
              <w:jc w:val="both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925" w:type="dxa"/>
          </w:tcPr>
          <w:p w:rsidR="00C66336" w:rsidRPr="003C2F24" w:rsidRDefault="00C66336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3C2F24" w:rsidRDefault="003C2F24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3C2F24" w:rsidRDefault="003C2F24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  <w:p w:rsidR="00C66336" w:rsidRPr="003C2F24" w:rsidRDefault="00C66336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KONFERENCIJOS I ETAPO KOORDINATORIUS</w:t>
            </w:r>
          </w:p>
          <w:p w:rsidR="00C66336" w:rsidRPr="003C2F24" w:rsidRDefault="00C66336" w:rsidP="00C6633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 xml:space="preserve">D. </w:t>
            </w:r>
            <w:proofErr w:type="spellStart"/>
            <w:r w:rsidRPr="003C2F24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Milius</w:t>
            </w:r>
            <w:proofErr w:type="spellEnd"/>
          </w:p>
        </w:tc>
      </w:tr>
      <w:tr w:rsidR="00C66336" w:rsidTr="009753B0">
        <w:trPr>
          <w:trHeight w:val="953"/>
        </w:trPr>
        <w:tc>
          <w:tcPr>
            <w:tcW w:w="2628" w:type="dxa"/>
          </w:tcPr>
          <w:p w:rsidR="00C66336" w:rsidRPr="00702000" w:rsidRDefault="00C66336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C66336" w:rsidRPr="00702000" w:rsidRDefault="00C66336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KONFERENCIJOS II ETAPAS</w:t>
            </w:r>
          </w:p>
        </w:tc>
        <w:tc>
          <w:tcPr>
            <w:tcW w:w="4770" w:type="dxa"/>
            <w:gridSpan w:val="2"/>
          </w:tcPr>
          <w:p w:rsidR="00C66336" w:rsidRPr="00702000" w:rsidRDefault="00C66336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C66336" w:rsidRPr="00702000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LEKTORIAI IR DALYVIAI</w:t>
            </w:r>
          </w:p>
        </w:tc>
        <w:tc>
          <w:tcPr>
            <w:tcW w:w="2925" w:type="dxa"/>
          </w:tcPr>
          <w:p w:rsidR="00C66336" w:rsidRPr="00702000" w:rsidRDefault="00C66336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3C2F24" w:rsidRDefault="003C2F24" w:rsidP="003C2F24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KONFERENCIJOS II ETAPO KOORDINATORIUS</w:t>
            </w:r>
          </w:p>
          <w:p w:rsidR="00C66336" w:rsidRPr="00702000" w:rsidRDefault="00C66336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D17420" w:rsidTr="003C3F47">
        <w:trPr>
          <w:trHeight w:val="1226"/>
        </w:trPr>
        <w:tc>
          <w:tcPr>
            <w:tcW w:w="2628" w:type="dxa"/>
          </w:tcPr>
          <w:p w:rsidR="00D17420" w:rsidRPr="00702000" w:rsidRDefault="00D17420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D17420" w:rsidRPr="003C2F24" w:rsidRDefault="00D17420" w:rsidP="00EE755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FORTEPIJONO SEKCIJA</w:t>
            </w:r>
          </w:p>
        </w:tc>
        <w:tc>
          <w:tcPr>
            <w:tcW w:w="4770" w:type="dxa"/>
            <w:gridSpan w:val="2"/>
          </w:tcPr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LEKTORIUS: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Motiejus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Bazaras</w:t>
            </w:r>
            <w:proofErr w:type="spellEnd"/>
          </w:p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D17420" w:rsidRPr="003C2F24" w:rsidRDefault="00D17420" w:rsidP="00D1742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Kauno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J. </w:t>
            </w: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Gruodžio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konservatorijos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fortepijono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metodininkas</w:t>
            </w:r>
            <w:proofErr w:type="spellEnd"/>
          </w:p>
        </w:tc>
        <w:tc>
          <w:tcPr>
            <w:tcW w:w="2925" w:type="dxa"/>
          </w:tcPr>
          <w:p w:rsidR="00D17420" w:rsidRPr="00702000" w:rsidRDefault="00D17420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420" w:rsidRPr="003C2F24" w:rsidRDefault="00D17420" w:rsidP="00EE755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Milius</w:t>
            </w:r>
            <w:proofErr w:type="spellEnd"/>
          </w:p>
        </w:tc>
      </w:tr>
      <w:tr w:rsidR="00D17420" w:rsidTr="003E2398">
        <w:trPr>
          <w:trHeight w:val="1213"/>
        </w:trPr>
        <w:tc>
          <w:tcPr>
            <w:tcW w:w="2628" w:type="dxa"/>
          </w:tcPr>
          <w:p w:rsidR="00D17420" w:rsidRDefault="00D17420" w:rsidP="003C2F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AKORDEONO SEKCIJA</w:t>
            </w:r>
          </w:p>
        </w:tc>
        <w:tc>
          <w:tcPr>
            <w:tcW w:w="4770" w:type="dxa"/>
            <w:gridSpan w:val="2"/>
          </w:tcPr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LEKTORIUS: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Laimonas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Salijus</w:t>
            </w:r>
            <w:proofErr w:type="spellEnd"/>
          </w:p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D17420" w:rsidRPr="009753B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Kauno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J. </w:t>
            </w:r>
            <w:proofErr w:type="spellStart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Gruo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džio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konservatorijos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akordeono</w:t>
            </w:r>
            <w:proofErr w:type="spellEnd"/>
            <w:r w:rsidRPr="003C2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2925" w:type="dxa"/>
          </w:tcPr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Mokytoja</w:t>
            </w:r>
            <w:proofErr w:type="spellEnd"/>
          </w:p>
          <w:p w:rsidR="00D17420" w:rsidRDefault="00D17420" w:rsidP="000549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Dabravolskaitė</w:t>
            </w:r>
            <w:proofErr w:type="spellEnd"/>
          </w:p>
        </w:tc>
      </w:tr>
      <w:tr w:rsidR="00D17420" w:rsidTr="00D17420">
        <w:trPr>
          <w:trHeight w:val="1187"/>
        </w:trPr>
        <w:tc>
          <w:tcPr>
            <w:tcW w:w="2628" w:type="dxa"/>
          </w:tcPr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GITAROS SEKCIJA</w:t>
            </w:r>
          </w:p>
        </w:tc>
        <w:tc>
          <w:tcPr>
            <w:tcW w:w="4770" w:type="dxa"/>
            <w:gridSpan w:val="2"/>
          </w:tcPr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C2F2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LEKTORIUS: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mokytojas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Audrius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Šerelis</w:t>
            </w:r>
            <w:proofErr w:type="spellEnd"/>
          </w:p>
          <w:p w:rsidR="00D17420" w:rsidRDefault="00D17420" w:rsidP="00D1742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D17420" w:rsidRPr="003C2F24" w:rsidRDefault="00D17420" w:rsidP="00D1742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Lietuvos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teatro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akademijos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muzikos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mokyklos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gitaros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2925" w:type="dxa"/>
          </w:tcPr>
          <w:p w:rsidR="00D17420" w:rsidRDefault="00D17420" w:rsidP="00EE75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7420" w:rsidRDefault="00D17420" w:rsidP="003C2F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Mokytoja</w:t>
            </w:r>
            <w:proofErr w:type="spellEnd"/>
          </w:p>
          <w:p w:rsidR="00D17420" w:rsidRDefault="00D17420" w:rsidP="003C2F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Žemonė</w:t>
            </w:r>
            <w:proofErr w:type="spellEnd"/>
          </w:p>
          <w:p w:rsidR="00D17420" w:rsidRDefault="00D17420" w:rsidP="003C2F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C2F24" w:rsidRPr="00702000" w:rsidTr="009753B0">
        <w:trPr>
          <w:trHeight w:val="953"/>
        </w:trPr>
        <w:tc>
          <w:tcPr>
            <w:tcW w:w="2628" w:type="dxa"/>
          </w:tcPr>
          <w:p w:rsidR="003C2F24" w:rsidRPr="00702000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3C2F24" w:rsidRPr="00702000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KONFERENCIJOS III ETAPAS</w:t>
            </w:r>
          </w:p>
        </w:tc>
        <w:tc>
          <w:tcPr>
            <w:tcW w:w="4770" w:type="dxa"/>
            <w:gridSpan w:val="2"/>
          </w:tcPr>
          <w:p w:rsidR="003C2F24" w:rsidRPr="00A31913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9753B0" w:rsidRDefault="00A31913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A3191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I RESPUBLIKI</w:t>
            </w:r>
            <w:r w:rsidR="006A6F48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</w:t>
            </w:r>
            <w:r w:rsidRPr="00A3191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S FESTIVALIS </w:t>
            </w:r>
          </w:p>
          <w:p w:rsidR="003C2F24" w:rsidRPr="00702000" w:rsidRDefault="00A31913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A3191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“MUZIKA, KURI PASAKOJA”</w:t>
            </w:r>
          </w:p>
        </w:tc>
        <w:tc>
          <w:tcPr>
            <w:tcW w:w="2925" w:type="dxa"/>
          </w:tcPr>
          <w:p w:rsidR="003C2F24" w:rsidRPr="00702000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3C2F24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KONFERENCIJOS II</w:t>
            </w:r>
            <w:r w:rsidR="00A3191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ETAPO </w:t>
            </w:r>
            <w:r w:rsidR="006A6F48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MENO VADOVAS IR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KOORDINATORIUS</w:t>
            </w:r>
          </w:p>
          <w:p w:rsidR="00A31913" w:rsidRDefault="00A31913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Milius</w:t>
            </w:r>
            <w:proofErr w:type="spellEnd"/>
          </w:p>
          <w:p w:rsidR="003C2F24" w:rsidRPr="00702000" w:rsidRDefault="003C2F24" w:rsidP="00EE7553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</w:tbl>
    <w:p w:rsidR="009434FC" w:rsidRDefault="009434FC" w:rsidP="009434FC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:rsidR="00A31913" w:rsidRDefault="00A31913" w:rsidP="009434FC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31913" w:rsidRDefault="00A31913" w:rsidP="009434FC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31913" w:rsidRDefault="00A31913" w:rsidP="009434FC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0549F5" w:rsidRDefault="000549F5" w:rsidP="009434FC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31913" w:rsidRDefault="00A31913" w:rsidP="009434FC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31913" w:rsidRPr="000549F5" w:rsidRDefault="00A31913" w:rsidP="000549F5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A31913" w:rsidRPr="000549F5" w:rsidSect="005D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BE"/>
    <w:multiLevelType w:val="hybridMultilevel"/>
    <w:tmpl w:val="59D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0ED"/>
    <w:multiLevelType w:val="hybridMultilevel"/>
    <w:tmpl w:val="265A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3679"/>
    <w:multiLevelType w:val="hybridMultilevel"/>
    <w:tmpl w:val="F6C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51CF"/>
    <w:multiLevelType w:val="hybridMultilevel"/>
    <w:tmpl w:val="539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41C"/>
    <w:multiLevelType w:val="hybridMultilevel"/>
    <w:tmpl w:val="0742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63E2"/>
    <w:multiLevelType w:val="hybridMultilevel"/>
    <w:tmpl w:val="34C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BB9"/>
    <w:rsid w:val="000549F5"/>
    <w:rsid w:val="000555E8"/>
    <w:rsid w:val="000A77BB"/>
    <w:rsid w:val="00286896"/>
    <w:rsid w:val="002A1888"/>
    <w:rsid w:val="003C2F24"/>
    <w:rsid w:val="00436439"/>
    <w:rsid w:val="005D2701"/>
    <w:rsid w:val="006A6F48"/>
    <w:rsid w:val="00702000"/>
    <w:rsid w:val="007C7936"/>
    <w:rsid w:val="007F1FF0"/>
    <w:rsid w:val="00854B91"/>
    <w:rsid w:val="00913D64"/>
    <w:rsid w:val="00937E0E"/>
    <w:rsid w:val="009434FC"/>
    <w:rsid w:val="009659A2"/>
    <w:rsid w:val="009753B0"/>
    <w:rsid w:val="009E3660"/>
    <w:rsid w:val="00A31913"/>
    <w:rsid w:val="00A55BF8"/>
    <w:rsid w:val="00AF3C60"/>
    <w:rsid w:val="00B750EA"/>
    <w:rsid w:val="00BA6BB9"/>
    <w:rsid w:val="00C66336"/>
    <w:rsid w:val="00D17420"/>
    <w:rsid w:val="00DC587E"/>
    <w:rsid w:val="00EB31B4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39"/>
    <w:pPr>
      <w:ind w:left="720"/>
      <w:contextualSpacing/>
    </w:pPr>
  </w:style>
  <w:style w:type="table" w:styleId="TableGrid">
    <w:name w:val="Table Grid"/>
    <w:basedOn w:val="TableNormal"/>
    <w:uiPriority w:val="59"/>
    <w:rsid w:val="0070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6829-E330-4632-A52E-0EB5EF0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2019-02-07T19:02:00Z</dcterms:created>
  <dcterms:modified xsi:type="dcterms:W3CDTF">2019-02-21T12:13:00Z</dcterms:modified>
</cp:coreProperties>
</file>